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12" w:rsidRPr="00102439" w:rsidRDefault="00D53112">
      <w:pPr>
        <w:rPr>
          <w:i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851"/>
        <w:gridCol w:w="708"/>
        <w:gridCol w:w="426"/>
        <w:gridCol w:w="2126"/>
        <w:gridCol w:w="1559"/>
        <w:gridCol w:w="4394"/>
      </w:tblGrid>
      <w:tr w:rsidR="00A10F91" w:rsidRPr="00102439" w:rsidTr="009E55FA">
        <w:trPr>
          <w:cantSplit/>
        </w:trPr>
        <w:tc>
          <w:tcPr>
            <w:tcW w:w="4111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53112" w:rsidRPr="00102439" w:rsidRDefault="00D53112" w:rsidP="00A10F91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102439">
              <w:rPr>
                <w:b/>
                <w:sz w:val="26"/>
                <w:szCs w:val="26"/>
              </w:rPr>
              <w:t xml:space="preserve">КОНТРОЛЬНО-СЧЕТНАЯ ПАЛАТА </w:t>
            </w:r>
          </w:p>
          <w:p w:rsidR="00A10F91" w:rsidRPr="00102439" w:rsidRDefault="00D53112" w:rsidP="00A10F91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102439">
              <w:rPr>
                <w:b/>
                <w:sz w:val="26"/>
                <w:szCs w:val="26"/>
              </w:rPr>
              <w:t xml:space="preserve">ПЕРВОМАЙСКОГО РАЙОНА </w:t>
            </w:r>
          </w:p>
          <w:p w:rsidR="00A10F91" w:rsidRPr="00102439" w:rsidRDefault="00A10F91" w:rsidP="00A10F91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102439">
              <w:rPr>
                <w:b/>
                <w:sz w:val="26"/>
                <w:szCs w:val="26"/>
              </w:rPr>
              <w:t>АЛТАЙСКОГО КРАЯ</w:t>
            </w:r>
          </w:p>
          <w:p w:rsidR="00A10F91" w:rsidRPr="00102439" w:rsidRDefault="00A10F91" w:rsidP="00A10F91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</w:p>
          <w:p w:rsidR="00C9388E" w:rsidRDefault="00A10F91" w:rsidP="00E74022">
            <w:pPr>
              <w:jc w:val="center"/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 xml:space="preserve">Деповская ул., 19а, </w:t>
            </w:r>
          </w:p>
          <w:p w:rsidR="00A10F91" w:rsidRPr="00102439" w:rsidRDefault="00A10F91" w:rsidP="00E74022">
            <w:pPr>
              <w:jc w:val="center"/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>г. Новоалтайск,</w:t>
            </w:r>
          </w:p>
          <w:p w:rsidR="00A10F91" w:rsidRPr="00102439" w:rsidRDefault="00A10F91" w:rsidP="00E74022">
            <w:pPr>
              <w:jc w:val="center"/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>Алтайский край, 658080</w:t>
            </w:r>
          </w:p>
          <w:p w:rsidR="00A10F91" w:rsidRPr="00102439" w:rsidRDefault="00A10F91" w:rsidP="00E74022">
            <w:pPr>
              <w:jc w:val="center"/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>тел</w:t>
            </w:r>
            <w:r w:rsidR="00E74022" w:rsidRPr="00102439">
              <w:rPr>
                <w:sz w:val="26"/>
                <w:szCs w:val="26"/>
              </w:rPr>
              <w:t>ефон</w:t>
            </w:r>
            <w:r w:rsidRPr="00102439">
              <w:rPr>
                <w:sz w:val="26"/>
                <w:szCs w:val="26"/>
              </w:rPr>
              <w:t xml:space="preserve"> (38532) 2</w:t>
            </w:r>
            <w:r w:rsidR="00E74022" w:rsidRPr="00102439">
              <w:rPr>
                <w:sz w:val="26"/>
                <w:szCs w:val="26"/>
              </w:rPr>
              <w:t>-</w:t>
            </w:r>
            <w:r w:rsidR="001C352A" w:rsidRPr="00102439">
              <w:rPr>
                <w:sz w:val="26"/>
                <w:szCs w:val="26"/>
              </w:rPr>
              <w:t>36</w:t>
            </w:r>
            <w:r w:rsidR="00F219AD" w:rsidRPr="00102439">
              <w:rPr>
                <w:sz w:val="26"/>
                <w:szCs w:val="26"/>
              </w:rPr>
              <w:t>-</w:t>
            </w:r>
            <w:r w:rsidR="001C352A" w:rsidRPr="00102439">
              <w:rPr>
                <w:sz w:val="26"/>
                <w:szCs w:val="26"/>
              </w:rPr>
              <w:t>67</w:t>
            </w:r>
            <w:r w:rsidRPr="00102439">
              <w:rPr>
                <w:sz w:val="26"/>
                <w:szCs w:val="26"/>
              </w:rPr>
              <w:t>,</w:t>
            </w:r>
          </w:p>
          <w:p w:rsidR="00A10F91" w:rsidRPr="00102439" w:rsidRDefault="00A10F91" w:rsidP="00E74022">
            <w:pPr>
              <w:jc w:val="center"/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>факс (38532)2</w:t>
            </w:r>
            <w:r w:rsidR="00E74022" w:rsidRPr="00102439">
              <w:rPr>
                <w:sz w:val="26"/>
                <w:szCs w:val="26"/>
              </w:rPr>
              <w:t>-</w:t>
            </w:r>
            <w:r w:rsidR="00D8295F" w:rsidRPr="00102439">
              <w:rPr>
                <w:sz w:val="26"/>
                <w:szCs w:val="26"/>
              </w:rPr>
              <w:t>24</w:t>
            </w:r>
            <w:r w:rsidR="00E74022" w:rsidRPr="00102439">
              <w:rPr>
                <w:sz w:val="26"/>
                <w:szCs w:val="26"/>
              </w:rPr>
              <w:t>-</w:t>
            </w:r>
            <w:r w:rsidR="00D8295F" w:rsidRPr="00102439">
              <w:rPr>
                <w:sz w:val="26"/>
                <w:szCs w:val="26"/>
              </w:rPr>
              <w:t>71</w:t>
            </w:r>
          </w:p>
          <w:p w:rsidR="002003D9" w:rsidRPr="003D7BEF" w:rsidRDefault="00A10F91" w:rsidP="003D7BEF">
            <w:pPr>
              <w:jc w:val="center"/>
              <w:rPr>
                <w:sz w:val="26"/>
                <w:szCs w:val="26"/>
                <w:lang w:val="en-US"/>
              </w:rPr>
            </w:pPr>
            <w:r w:rsidRPr="00102439">
              <w:rPr>
                <w:sz w:val="26"/>
                <w:szCs w:val="26"/>
                <w:lang w:val="en-US"/>
              </w:rPr>
              <w:t>E</w:t>
            </w:r>
            <w:r w:rsidR="00E74022" w:rsidRPr="003D7BEF">
              <w:rPr>
                <w:sz w:val="26"/>
                <w:szCs w:val="26"/>
                <w:lang w:val="en-US"/>
              </w:rPr>
              <w:t>-</w:t>
            </w:r>
            <w:r w:rsidRPr="00102439">
              <w:rPr>
                <w:sz w:val="26"/>
                <w:szCs w:val="26"/>
                <w:lang w:val="en-US"/>
              </w:rPr>
              <w:t>mail</w:t>
            </w:r>
            <w:r w:rsidRPr="003D7BEF">
              <w:rPr>
                <w:sz w:val="26"/>
                <w:szCs w:val="26"/>
                <w:lang w:val="en-US"/>
              </w:rPr>
              <w:t xml:space="preserve">: </w:t>
            </w:r>
            <w:r w:rsidR="00AD401A" w:rsidRPr="00102439">
              <w:rPr>
                <w:sz w:val="26"/>
                <w:szCs w:val="26"/>
                <w:lang w:val="en-US"/>
              </w:rPr>
              <w:t>perv</w:t>
            </w:r>
            <w:r w:rsidR="00AD401A" w:rsidRPr="003D7BEF">
              <w:rPr>
                <w:sz w:val="26"/>
                <w:szCs w:val="26"/>
                <w:lang w:val="en-US"/>
              </w:rPr>
              <w:t>-</w:t>
            </w:r>
            <w:r w:rsidR="00AD401A" w:rsidRPr="00102439">
              <w:rPr>
                <w:sz w:val="26"/>
                <w:szCs w:val="26"/>
                <w:lang w:val="en-US"/>
              </w:rPr>
              <w:t>ksp</w:t>
            </w:r>
            <w:r w:rsidR="00AD401A" w:rsidRPr="003D7BEF">
              <w:rPr>
                <w:sz w:val="26"/>
                <w:szCs w:val="26"/>
                <w:lang w:val="en-US"/>
              </w:rPr>
              <w:t>@</w:t>
            </w:r>
            <w:r w:rsidR="00AD401A" w:rsidRPr="00102439">
              <w:rPr>
                <w:sz w:val="26"/>
                <w:szCs w:val="26"/>
                <w:lang w:val="en-US"/>
              </w:rPr>
              <w:t>mail</w:t>
            </w:r>
            <w:r w:rsidR="00AD401A" w:rsidRPr="003D7BEF">
              <w:rPr>
                <w:sz w:val="26"/>
                <w:szCs w:val="26"/>
                <w:lang w:val="en-US"/>
              </w:rPr>
              <w:t>.</w:t>
            </w:r>
            <w:r w:rsidR="003D7BEF" w:rsidRPr="003D7BEF">
              <w:rPr>
                <w:sz w:val="26"/>
                <w:szCs w:val="26"/>
                <w:lang w:val="en-US"/>
              </w:rPr>
              <w:t xml:space="preserve"> </w:t>
            </w:r>
            <w:r w:rsidR="00AD401A" w:rsidRPr="00102439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A10F91" w:rsidRPr="003D7BEF" w:rsidRDefault="00A10F91" w:rsidP="00386F48">
            <w:pPr>
              <w:spacing w:line="240" w:lineRule="exact"/>
              <w:rPr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  <w:vMerge w:val="restart"/>
          </w:tcPr>
          <w:p w:rsidR="009E55FA" w:rsidRPr="00102439" w:rsidRDefault="009E55FA" w:rsidP="009E55FA">
            <w:pPr>
              <w:rPr>
                <w:sz w:val="24"/>
                <w:szCs w:val="24"/>
              </w:rPr>
            </w:pPr>
            <w:r w:rsidRPr="00102439">
              <w:rPr>
                <w:sz w:val="24"/>
                <w:szCs w:val="24"/>
              </w:rPr>
              <w:t>Председателю Первомайского районного Собрания депутатов</w:t>
            </w:r>
          </w:p>
          <w:p w:rsidR="009E55FA" w:rsidRPr="00102439" w:rsidRDefault="009E55FA" w:rsidP="009E55FA">
            <w:pPr>
              <w:rPr>
                <w:sz w:val="24"/>
                <w:szCs w:val="24"/>
              </w:rPr>
            </w:pPr>
          </w:p>
          <w:p w:rsidR="009E55FA" w:rsidRPr="00102439" w:rsidRDefault="009E55FA" w:rsidP="009E55FA">
            <w:pPr>
              <w:rPr>
                <w:sz w:val="24"/>
                <w:szCs w:val="24"/>
              </w:rPr>
            </w:pPr>
            <w:r w:rsidRPr="00102439">
              <w:rPr>
                <w:sz w:val="24"/>
                <w:szCs w:val="24"/>
              </w:rPr>
              <w:t>Ю.А. Фроловой</w:t>
            </w:r>
          </w:p>
          <w:p w:rsidR="009E55FA" w:rsidRPr="00102439" w:rsidRDefault="009E55FA" w:rsidP="009E55FA">
            <w:pPr>
              <w:rPr>
                <w:sz w:val="24"/>
                <w:szCs w:val="24"/>
              </w:rPr>
            </w:pPr>
          </w:p>
          <w:p w:rsidR="009E55FA" w:rsidRPr="00102439" w:rsidRDefault="009E55FA" w:rsidP="009E55FA">
            <w:pPr>
              <w:rPr>
                <w:sz w:val="24"/>
                <w:szCs w:val="24"/>
              </w:rPr>
            </w:pPr>
            <w:r w:rsidRPr="00102439">
              <w:rPr>
                <w:sz w:val="24"/>
                <w:szCs w:val="24"/>
              </w:rPr>
              <w:t>Первомайское районное Собрание депутатов Алтайского края</w:t>
            </w:r>
          </w:p>
          <w:p w:rsidR="008E7B6C" w:rsidRPr="00102439" w:rsidRDefault="008E7B6C" w:rsidP="008E7B6C">
            <w:pPr>
              <w:jc w:val="both"/>
              <w:rPr>
                <w:sz w:val="26"/>
                <w:szCs w:val="26"/>
              </w:rPr>
            </w:pPr>
          </w:p>
        </w:tc>
      </w:tr>
      <w:tr w:rsidR="00A10F91" w:rsidRPr="00102439" w:rsidTr="009E55FA">
        <w:trPr>
          <w:cantSplit/>
        </w:trPr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10F91" w:rsidRPr="00102439" w:rsidRDefault="005E3DDE" w:rsidP="003D7BE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</w:t>
            </w:r>
            <w:r w:rsidR="003D7BEF">
              <w:rPr>
                <w:sz w:val="26"/>
                <w:szCs w:val="26"/>
              </w:rPr>
              <w:t>21</w:t>
            </w:r>
          </w:p>
        </w:tc>
        <w:tc>
          <w:tcPr>
            <w:tcW w:w="426" w:type="dxa"/>
            <w:tcBorders>
              <w:top w:val="single" w:sz="4" w:space="0" w:color="FFFFFF"/>
            </w:tcBorders>
          </w:tcPr>
          <w:p w:rsidR="00A10F91" w:rsidRPr="00102439" w:rsidRDefault="00A10F91" w:rsidP="00386F48">
            <w:pPr>
              <w:spacing w:before="120"/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F13684" w:rsidRPr="00102439" w:rsidRDefault="005E3DDE" w:rsidP="00197856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559" w:type="dxa"/>
            <w:vMerge/>
            <w:tcBorders>
              <w:left w:val="nil"/>
            </w:tcBorders>
          </w:tcPr>
          <w:p w:rsidR="00A10F91" w:rsidRPr="00102439" w:rsidRDefault="00A10F91" w:rsidP="00386F4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A10F91" w:rsidRPr="00102439" w:rsidRDefault="00A10F91" w:rsidP="00386F4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A10F91" w:rsidRPr="00102439" w:rsidTr="009E55FA">
        <w:trPr>
          <w:cantSplit/>
        </w:trPr>
        <w:tc>
          <w:tcPr>
            <w:tcW w:w="851" w:type="dxa"/>
            <w:tcBorders>
              <w:left w:val="single" w:sz="4" w:space="0" w:color="FFFFFF"/>
              <w:bottom w:val="single" w:sz="4" w:space="0" w:color="FFFFFF"/>
            </w:tcBorders>
          </w:tcPr>
          <w:p w:rsidR="00A10F91" w:rsidRPr="00102439" w:rsidRDefault="00A10F91" w:rsidP="00386F48">
            <w:pPr>
              <w:pStyle w:val="5"/>
              <w:rPr>
                <w:b w:val="0"/>
                <w:sz w:val="26"/>
                <w:szCs w:val="26"/>
              </w:rPr>
            </w:pPr>
            <w:r w:rsidRPr="00102439">
              <w:rPr>
                <w:b w:val="0"/>
                <w:sz w:val="26"/>
                <w:szCs w:val="26"/>
              </w:rPr>
              <w:t>На №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</w:tcBorders>
          </w:tcPr>
          <w:p w:rsidR="00A10F91" w:rsidRPr="00102439" w:rsidRDefault="00A10F91" w:rsidP="00386F48">
            <w:pPr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 xml:space="preserve">        от  </w:t>
            </w:r>
          </w:p>
        </w:tc>
        <w:tc>
          <w:tcPr>
            <w:tcW w:w="1559" w:type="dxa"/>
            <w:vMerge/>
          </w:tcPr>
          <w:p w:rsidR="00A10F91" w:rsidRPr="00102439" w:rsidRDefault="00A10F91" w:rsidP="00386F4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A10F91" w:rsidRPr="00102439" w:rsidRDefault="00A10F91" w:rsidP="00386F48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9E4A52" w:rsidRPr="00102439" w:rsidRDefault="009E4A52" w:rsidP="00B22DE2">
      <w:pPr>
        <w:pStyle w:val="1"/>
        <w:keepNex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14C5D" w:rsidRPr="00102439" w:rsidRDefault="00714C5D" w:rsidP="00714C5D">
      <w:pPr>
        <w:rPr>
          <w:sz w:val="26"/>
          <w:szCs w:val="26"/>
        </w:rPr>
      </w:pPr>
    </w:p>
    <w:p w:rsidR="00714C5D" w:rsidRPr="00102439" w:rsidRDefault="00714C5D" w:rsidP="00714C5D">
      <w:pPr>
        <w:rPr>
          <w:sz w:val="26"/>
          <w:szCs w:val="26"/>
        </w:rPr>
      </w:pPr>
    </w:p>
    <w:p w:rsidR="009E55FA" w:rsidRPr="005E3DDE" w:rsidRDefault="00507A61" w:rsidP="00F1396E">
      <w:pPr>
        <w:jc w:val="center"/>
        <w:rPr>
          <w:b/>
          <w:sz w:val="22"/>
          <w:szCs w:val="22"/>
        </w:rPr>
      </w:pPr>
      <w:r w:rsidRPr="005E3DDE">
        <w:rPr>
          <w:b/>
          <w:sz w:val="22"/>
          <w:szCs w:val="22"/>
        </w:rPr>
        <w:t>Аналитическая записка контрольно-счетн</w:t>
      </w:r>
      <w:r w:rsidR="00C136F8" w:rsidRPr="005E3DDE">
        <w:rPr>
          <w:b/>
          <w:sz w:val="22"/>
          <w:szCs w:val="22"/>
        </w:rPr>
        <w:t>ой палаты</w:t>
      </w:r>
      <w:r w:rsidRPr="005E3DDE">
        <w:rPr>
          <w:b/>
          <w:sz w:val="22"/>
          <w:szCs w:val="22"/>
        </w:rPr>
        <w:t xml:space="preserve"> Первомайского района </w:t>
      </w:r>
    </w:p>
    <w:p w:rsidR="00507A61" w:rsidRDefault="00507A61" w:rsidP="00F1396E">
      <w:pPr>
        <w:jc w:val="center"/>
        <w:rPr>
          <w:b/>
          <w:sz w:val="22"/>
          <w:szCs w:val="22"/>
        </w:rPr>
      </w:pPr>
      <w:r w:rsidRPr="005E3DDE">
        <w:rPr>
          <w:b/>
          <w:sz w:val="22"/>
          <w:szCs w:val="22"/>
        </w:rPr>
        <w:t xml:space="preserve">«Анализ оперативной отчетности об исполнении </w:t>
      </w:r>
      <w:r w:rsidR="004570CD" w:rsidRPr="005E3DDE">
        <w:rPr>
          <w:b/>
          <w:sz w:val="22"/>
          <w:szCs w:val="22"/>
        </w:rPr>
        <w:t>районного</w:t>
      </w:r>
      <w:r w:rsidRPr="005E3DDE">
        <w:rPr>
          <w:b/>
          <w:sz w:val="22"/>
          <w:szCs w:val="22"/>
        </w:rPr>
        <w:t xml:space="preserve"> бюджетаза </w:t>
      </w:r>
      <w:r w:rsidR="005E3DDE" w:rsidRPr="005E3DDE">
        <w:rPr>
          <w:b/>
          <w:sz w:val="22"/>
          <w:szCs w:val="22"/>
        </w:rPr>
        <w:t>1квартал2021</w:t>
      </w:r>
      <w:r w:rsidRPr="005E3DDE">
        <w:rPr>
          <w:b/>
          <w:sz w:val="22"/>
          <w:szCs w:val="22"/>
        </w:rPr>
        <w:t xml:space="preserve"> года»</w:t>
      </w:r>
    </w:p>
    <w:p w:rsidR="005E3DDE" w:rsidRPr="005E3DDE" w:rsidRDefault="005E3DDE" w:rsidP="00F1396E">
      <w:pPr>
        <w:jc w:val="center"/>
        <w:rPr>
          <w:b/>
          <w:sz w:val="22"/>
          <w:szCs w:val="22"/>
        </w:rPr>
      </w:pPr>
    </w:p>
    <w:p w:rsidR="005E3DDE" w:rsidRPr="005E3DDE" w:rsidRDefault="005E3DDE" w:rsidP="005E3DD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 xml:space="preserve">Основание для проведения экспертно-аналитического мероприятия: пункт 2. 5  плана работы контрольно-счетной палаты Алтайского края на 2021 год. </w:t>
      </w:r>
    </w:p>
    <w:p w:rsidR="005E3DDE" w:rsidRPr="005E3DDE" w:rsidRDefault="005E3DDE" w:rsidP="005E3DD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 xml:space="preserve">Цель экспертно-аналитического мероприятия: Оценить объемы, динамику и структуру доходов и расходов районного бюджета, межбюджетных трансфертов, дефицита районного бюджета. </w:t>
      </w:r>
    </w:p>
    <w:p w:rsidR="005E3DDE" w:rsidRPr="005E3DDE" w:rsidRDefault="005E3DDE" w:rsidP="005E3DD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>Предметы экспертно-аналитического мероприятия: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Отчет об исполнении районного бюджета за 1 квартал 2021 года, утвержденный постановления администрации Первомайского района Алтайского края от 12.04.2021 № 381;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Отчет об использовании бюджетных ассигнований муниципального дорожного фонда за 1 квартал 2021 года, утвержденный постановлением администрации Первомайского района Алтайского края от 14.04.2021 № 397;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Отчет об использовании резервного фонда администрации Первомайского района за 1 квартал 2021 года, утвержденный постановлением администрации Первомайского района Алтайского края от 12.04.2021 № 382.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Срок проведения экспертно-аналитического мероприятия: с 04 мая по 07 мая 2021 года</w:t>
      </w:r>
    </w:p>
    <w:p w:rsidR="005E3DDE" w:rsidRPr="005E3DDE" w:rsidRDefault="005E3DDE" w:rsidP="005E3DD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>Исследуемый период: январь-март 2021 года.</w:t>
      </w:r>
    </w:p>
    <w:p w:rsidR="005E3DDE" w:rsidRPr="005E3DDE" w:rsidRDefault="005E3DDE" w:rsidP="005E3DD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E3DDE" w:rsidRPr="005E3DDE" w:rsidRDefault="005E3DDE" w:rsidP="005E3DD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E3DDE">
        <w:rPr>
          <w:rFonts w:eastAsia="Calibri"/>
          <w:b/>
          <w:sz w:val="22"/>
          <w:szCs w:val="22"/>
          <w:lang w:eastAsia="en-US"/>
        </w:rPr>
        <w:t>Результаты экспертно-аналитического мероприятия</w:t>
      </w:r>
    </w:p>
    <w:p w:rsidR="005E3DDE" w:rsidRPr="005E3DDE" w:rsidRDefault="005E3DDE" w:rsidP="005E3DDE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5E3DDE">
        <w:rPr>
          <w:rFonts w:eastAsia="Calibri"/>
          <w:b/>
          <w:sz w:val="22"/>
          <w:szCs w:val="22"/>
          <w:lang w:eastAsia="en-US"/>
        </w:rPr>
        <w:t>Анализ исполнения доходов  районного бюджета</w:t>
      </w:r>
    </w:p>
    <w:p w:rsidR="005E3DDE" w:rsidRPr="005E3DDE" w:rsidRDefault="005E3DDE" w:rsidP="005E3DD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 xml:space="preserve">В соответствии с решением районного Собрания от 15.12.2020 № 30-СД «О районном бюджете на 2021 год и на плановый период 2022 и 2023 годов» доходы районного бюджета на 2021 год утверждены в сумме 1026824,5 тыс. рублей и соответствуют плановым показателям по отчету. Фактически поступило доходов в районный  бюджет 263017,8 тыс. рублей или 25,6 % к годовому плану, в том числе налоговых и неналоговых доходов – 68154,9 тыс. рублей или 27,0% к годовому плану. </w:t>
      </w:r>
    </w:p>
    <w:p w:rsidR="005E3DDE" w:rsidRPr="005E3DDE" w:rsidRDefault="005E3DDE" w:rsidP="005E3DD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>По сравнению с аналогичным периодом прошлого года объем доходов увеличился на 66929,0 тыс. рублей или на 34,1%, при этом налоговых и неналоговых доходов поступило больше  на 14767,1 тыс. рублей или на 27,7%, их доля в объеме доходов районного бюджета снизилась с 27,2% на 1 апреля 2020 года до 25,9% на 1 апреля 2021 года (на 1,3 процентного пункта).</w:t>
      </w:r>
    </w:p>
    <w:p w:rsidR="005E3DDE" w:rsidRPr="005E3DDE" w:rsidRDefault="005E3DDE" w:rsidP="005E3DDE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5E3DDE" w:rsidRPr="005E3DDE" w:rsidRDefault="005E3DDE" w:rsidP="005E3DDE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5E3DDE">
        <w:rPr>
          <w:rFonts w:ascii="yandex-sans" w:eastAsia="Calibri" w:hAnsi="yandex-sans"/>
          <w:b/>
          <w:color w:val="000000"/>
          <w:sz w:val="23"/>
          <w:szCs w:val="23"/>
          <w:shd w:val="clear" w:color="auto" w:fill="FFFFFF"/>
          <w:lang w:eastAsia="en-US"/>
        </w:rPr>
        <w:t>Анализ поступления налоговых доходов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Налоговые доходы при плане на год 211889,0 тыс. рублей поступили в сумме 53815,3 тыс. рублей (25,4% к прогнозному плану), в том числе: 37039,9 тыс. рублей – налог на доходы физических лиц; 2451,7 тыс. рублей – акцизы по подакцизным товарам; 8614,1 тыс. рублей – налог, взимаемый в связи с применением упрощенной системы налогообложения; 1452,0 тыс. рублей – единый налог на вмененный доход для отдельных видов деятельности; 1591,7 тыс. рублей – единый сельскохозяйственный налог; 2604,7 тыс. рублей – налог, взимаемый в связи с применением патентной системы налогообложения; налоги и сборы и регулярные платежи за пользование природными ресурсами – 61,2 тыс. рублей.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lastRenderedPageBreak/>
        <w:t xml:space="preserve">Государственная пошлина – 4,6 тыс. рублей. 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сравнению с аналогичным периодом 2020 года поступление налоговых доходов в районный бюджет увеличилось на 9574,3 тыс. рублей или на 21,6%. Поступления увеличились по следующим видам налогов: налог на доходы физических лиц – на 3402,4 тыс. рублей или на 10,1%; акцизы по подакцизным товарам – на 171,3 тыс. рублей или на 7,5%; по налогу, взимаемому в связи с применением упрощенной системы налогообложения – на 3608,3 тыс. рублей или на 72,1%; единый сельскохозяйственный налог – на 103,6тыс. рублей или на 6,9%; налог, взимаемый в связи с применением патентной системы налогообложения на 2518,9 тыс. рублей или в три раза.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Поступления сократились по единому налогу на вмененный доход для отдельных видов деятельности – на 291,1 тыс. рублей или на 16,7%.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Налоговые доходы в объеме доходов районного бюджета составили 20,5%, что ниже аналогичного уровня прошлого года на 2,0 процентного пункта.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Анализ поступления неналоговых доходов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Неналоговые доходы при плане на год в сумме 40590,0 тыс. рублей поступили в районный бюджет в объеме 14335,0 тыс. рублей, (35,3% к прогнозному плану), в том числе: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штрафы, санкции, возмещение ущерба  -271,1 тыс. рублей или 27,2% от утвержденного плана;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доходы от оказания платных услуг- 135,1 тыс. рублей или 14,4% от утвержденного плана;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доходы от использования имущества, находящегося в государственной и муниципальной собственности – 6444,2 тыс. рублей или 22,1% от утвержденного плана;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доходы от компенсации затрат государства – 128,8 тыс. рублей;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доходы от продажи материальных и нематериальных активов – 2626,2 тыс. рублей или 52,5% от утвержденного плана;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платежи при пользовании природными ресурсами поступили в сумме 4509,5 тыс. рублей или 100,2% от утвержденного плана;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прочие неналоговые доходы – 220,1 тыс. рублей.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сравнению с аналогичным периодом 2020 года превышение объема поступлений неналоговых доходов составило 5188,2 тыс. рублей (на 56,7%).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 xml:space="preserve">Поступления увеличились по следующим видам неналоговых доходов по: </w:t>
      </w:r>
      <w:r w:rsidRPr="005E3DDE">
        <w:rPr>
          <w:rFonts w:ascii="yandex-sans" w:hAnsi="yandex-sans"/>
          <w:color w:val="000000"/>
          <w:sz w:val="23"/>
          <w:szCs w:val="23"/>
        </w:rPr>
        <w:t xml:space="preserve">платежам при пользовании природными ресурсами на 2171,4 </w:t>
      </w:r>
      <w:r w:rsidRPr="005E3DDE">
        <w:rPr>
          <w:rFonts w:eastAsia="Calibri"/>
          <w:sz w:val="22"/>
          <w:szCs w:val="22"/>
          <w:lang w:eastAsia="en-US"/>
        </w:rPr>
        <w:t xml:space="preserve">тыс. рублей или на 92,8%; </w:t>
      </w:r>
      <w:r w:rsidRPr="005E3DDE">
        <w:rPr>
          <w:rFonts w:ascii="yandex-sans" w:hAnsi="yandex-sans"/>
          <w:color w:val="000000"/>
          <w:sz w:val="23"/>
          <w:szCs w:val="23"/>
        </w:rPr>
        <w:t>доходам от использования имущества, находящегося в государственной и муниципальной собственности на 1358,9 тыс. рублей или 26,7%; доходам от продажи материальных и нематериальных активов на 1633,4 тыс. рублей или в 2,6 раза.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 xml:space="preserve">Сократились поступления по </w:t>
      </w:r>
      <w:r w:rsidRPr="005E3DDE">
        <w:rPr>
          <w:rFonts w:ascii="yandex-sans" w:hAnsi="yandex-sans"/>
          <w:color w:val="000000"/>
          <w:sz w:val="23"/>
          <w:szCs w:val="23"/>
        </w:rPr>
        <w:t xml:space="preserve">штрафам, санкциям, возмещению ущерба  </w:t>
      </w:r>
      <w:r w:rsidRPr="005E3DDE">
        <w:rPr>
          <w:rFonts w:eastAsia="Calibri"/>
          <w:sz w:val="22"/>
          <w:szCs w:val="22"/>
          <w:lang w:eastAsia="en-US"/>
        </w:rPr>
        <w:t xml:space="preserve">– на 143,3 тыс. рублей или на 36,4 %; </w:t>
      </w:r>
      <w:r w:rsidRPr="005E3DDE">
        <w:rPr>
          <w:rFonts w:ascii="yandex-sans" w:hAnsi="yandex-sans"/>
          <w:color w:val="000000"/>
          <w:sz w:val="23"/>
          <w:szCs w:val="23"/>
        </w:rPr>
        <w:t xml:space="preserve">доходам от компенсации затрат государства </w:t>
      </w:r>
      <w:r w:rsidRPr="005E3DDE">
        <w:rPr>
          <w:rFonts w:eastAsia="Calibri"/>
          <w:sz w:val="22"/>
          <w:szCs w:val="22"/>
          <w:lang w:eastAsia="en-US"/>
        </w:rPr>
        <w:t>– на 43,9 тыс. рублей или на 24,5%;</w:t>
      </w:r>
      <w:r w:rsidRPr="005E3DDE">
        <w:rPr>
          <w:rFonts w:ascii="yandex-sans" w:hAnsi="yandex-sans"/>
          <w:color w:val="000000"/>
          <w:sz w:val="23"/>
          <w:szCs w:val="23"/>
        </w:rPr>
        <w:t xml:space="preserve"> доходам от компенсации затрат государства </w:t>
      </w:r>
      <w:r w:rsidRPr="005E3DDE">
        <w:rPr>
          <w:rFonts w:eastAsia="Calibri"/>
          <w:sz w:val="22"/>
          <w:szCs w:val="22"/>
          <w:lang w:eastAsia="en-US"/>
        </w:rPr>
        <w:t xml:space="preserve">– на 10,4 тыс. рублей или на 7,5%. 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Неналоговые доходы в объеме доходов районного бюджета составили 5,4%, в структуре налоговых и неналоговых доходов – 21,0%</w:t>
      </w:r>
      <w:r w:rsidRPr="005E3DDE">
        <w:rPr>
          <w:rFonts w:eastAsia="Calibri"/>
          <w:sz w:val="22"/>
          <w:szCs w:val="22"/>
          <w:lang w:eastAsia="en-US"/>
        </w:rPr>
        <w:t>(к уровню прошлого года их доля увеличилась на 0,8 и 3,9 процентного пункта соответственно).</w:t>
      </w:r>
    </w:p>
    <w:p w:rsidR="005E3DDE" w:rsidRPr="005E3DDE" w:rsidRDefault="005E3DDE" w:rsidP="005E3DD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Анализ безвозмездных поступлений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Безвозмездные поступления в районный бюджет при плане 774345,5 тыс. рублей по состоянию на 1 квартал 2021года составили 194862,9 тыс. рублей или 25,2%.</w:t>
      </w:r>
    </w:p>
    <w:p w:rsidR="005E3DDE" w:rsidRPr="005E3DDE" w:rsidRDefault="005E3DDE" w:rsidP="005E3DD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Удельный вес в структуре доходов –74,1% (к уровню прошлого года их доля увеличилась на 1,6 процентного пункта). По сравнению с аналогичным периодом прошлого года объем безвозмездных поступлений в районный бюджет увеличился на 52162,1 тыс. рублей.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1.3.1. Из других бюджетов бюджетной системы РФ в районный бюджет поступило 194862,9 тыс. рублей или 25,2% от плановых показателей 774345,5 тыс. рублей, из них: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 w:hint="eastAsia"/>
          <w:color w:val="000000"/>
          <w:sz w:val="23"/>
          <w:szCs w:val="23"/>
        </w:rPr>
        <w:t>Д</w:t>
      </w:r>
      <w:r w:rsidRPr="005E3DDE">
        <w:rPr>
          <w:rFonts w:ascii="yandex-sans" w:hAnsi="yandex-sans"/>
          <w:color w:val="000000"/>
          <w:sz w:val="23"/>
          <w:szCs w:val="23"/>
        </w:rPr>
        <w:t xml:space="preserve">отаций от других бюджетов бюджетной системы Российской Федерации – 15304,0 тыс. рублей или 30,0% от утвержденных бюджетных назначений 51012,0 тыс. рублей; субсидии бюджетам муниципальным районам от других бюджетов Российской Федерации – 16034,5 тыс. рублей или 9,7% (165055,1 тыс. рублей); субвенции бюджетам муниципальным районам от других бюджетов Российской Федерации – 163448,0 тыс. рублей или 29,3% (557635,9 тыс. рублей); иных межбюджетных трансфертов – 95,0 тыс. рублей или 14,8% (642,5 тыс. рублей). 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сравнению с аналогичным периодом 2020 года из других бюджетов бюджетной системы Российской Федерации в районный бюджет поступило больше средств на 37,3% или на 52939,5 тыс. рублей,  возросли поступления субсидий – на 4212,5 тыс. рублей или на 35,6%; субвенции увеличились  на 50416,4 тыс. рублей или на 44,6%; иные межбюджетные трансферты увеличилис</w:t>
      </w:r>
      <w:r w:rsidRPr="005E3DDE">
        <w:rPr>
          <w:rFonts w:ascii="yandex-sans" w:hAnsi="yandex-sans" w:hint="eastAsia"/>
          <w:color w:val="000000"/>
          <w:sz w:val="23"/>
          <w:szCs w:val="23"/>
        </w:rPr>
        <w:t>ь</w:t>
      </w:r>
      <w:r w:rsidRPr="005E3DDE">
        <w:rPr>
          <w:rFonts w:ascii="yandex-sans" w:hAnsi="yandex-sans"/>
          <w:color w:val="000000"/>
          <w:sz w:val="23"/>
          <w:szCs w:val="23"/>
        </w:rPr>
        <w:t xml:space="preserve">  на </w:t>
      </w:r>
      <w:r w:rsidRPr="005E3DDE">
        <w:rPr>
          <w:rFonts w:ascii="yandex-sans" w:hAnsi="yandex-sans"/>
          <w:color w:val="000000"/>
          <w:sz w:val="23"/>
          <w:szCs w:val="23"/>
        </w:rPr>
        <w:lastRenderedPageBreak/>
        <w:t>69,6 тыс. рублей или в 3,7 раза. Уменьшились поступления дотации– на 1759,0 тыс. рублей или на 10,3%.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1.3.2. Прочие безвозмездные поступления в бюджеты муниципальных районов составили (-19,6) тыс. рублей.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1.3.3. доходы от возврат</w:t>
      </w:r>
      <w:r w:rsidRPr="005E3DDE">
        <w:rPr>
          <w:rFonts w:ascii="yandex-sans" w:hAnsi="yandex-sans" w:hint="eastAsia"/>
          <w:color w:val="000000"/>
          <w:sz w:val="23"/>
          <w:szCs w:val="23"/>
        </w:rPr>
        <w:t>а</w:t>
      </w:r>
      <w:r w:rsidRPr="005E3DDE">
        <w:rPr>
          <w:rFonts w:ascii="yandex-sans" w:hAnsi="yandex-sans"/>
          <w:color w:val="000000"/>
          <w:sz w:val="23"/>
          <w:szCs w:val="23"/>
        </w:rPr>
        <w:t xml:space="preserve"> субсидий и иных межбюджетных трансфертов, имеющих целевое назначение прошлых лет, поступления составили 1,0 тыс. </w:t>
      </w:r>
      <w:r w:rsidRPr="005E3DDE">
        <w:rPr>
          <w:rFonts w:ascii="yandex-sans" w:hAnsi="yandex-sans" w:hint="eastAsia"/>
          <w:color w:val="000000"/>
          <w:sz w:val="23"/>
          <w:szCs w:val="23"/>
        </w:rPr>
        <w:t>Р</w:t>
      </w:r>
      <w:r w:rsidRPr="005E3DDE">
        <w:rPr>
          <w:rFonts w:ascii="yandex-sans" w:hAnsi="yandex-sans"/>
          <w:color w:val="000000"/>
          <w:sz w:val="23"/>
          <w:szCs w:val="23"/>
        </w:rPr>
        <w:t>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bookmarkStart w:id="0" w:name="_GoBack"/>
      <w:bookmarkEnd w:id="0"/>
      <w:r w:rsidRPr="005E3DDE">
        <w:rPr>
          <w:rFonts w:ascii="yandex-sans" w:hAnsi="yandex-sans"/>
          <w:b/>
          <w:color w:val="000000"/>
          <w:sz w:val="23"/>
          <w:szCs w:val="23"/>
        </w:rPr>
        <w:t>Анализ исполнения расходов районного бюджета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Расходы районного бюджета за 1 квартал 2020 года профинансированы в сумме 252748,5 тыс. рублей, что составляет 22,1% к утвержденному годовому плану в объеме 1141264,2 тыс. рублей. Удельный вес финансирования расходов за отчетный период в объеме уточненных годовых плановых ассигнований выше аналогичного периода 2020 года на 0,2 процентного пункта (на 01.04.2020 – 22,3%). По сравнению с аналогичным периодом прошлого года расходы районного бюджета увеличились на 57452,1 тыс. рублей или на 29,4%.</w:t>
      </w:r>
    </w:p>
    <w:p w:rsidR="005E3DDE" w:rsidRPr="005E3DDE" w:rsidRDefault="005E3DDE" w:rsidP="005E3DDE">
      <w:pPr>
        <w:shd w:val="clear" w:color="auto" w:fill="FFFFFF"/>
        <w:ind w:firstLine="709"/>
        <w:jc w:val="center"/>
        <w:rPr>
          <w:b/>
          <w:color w:val="000000"/>
          <w:sz w:val="23"/>
          <w:szCs w:val="23"/>
        </w:rPr>
      </w:pPr>
      <w:r w:rsidRPr="005E3DDE">
        <w:rPr>
          <w:rFonts w:eastAsia="Calibri"/>
          <w:b/>
          <w:sz w:val="22"/>
          <w:szCs w:val="22"/>
          <w:lang w:eastAsia="en-US"/>
        </w:rPr>
        <w:t>Структура расходов краевого бюджета</w:t>
      </w:r>
    </w:p>
    <w:tbl>
      <w:tblPr>
        <w:tblStyle w:val="10"/>
        <w:tblW w:w="0" w:type="auto"/>
        <w:tblLook w:val="04A0"/>
      </w:tblPr>
      <w:tblGrid>
        <w:gridCol w:w="1809"/>
        <w:gridCol w:w="5103"/>
        <w:gridCol w:w="1985"/>
        <w:gridCol w:w="1276"/>
      </w:tblGrid>
      <w:tr w:rsidR="005E3DDE" w:rsidRPr="005E3DDE" w:rsidTr="005E3DDE">
        <w:tc>
          <w:tcPr>
            <w:tcW w:w="1809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5103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985" w:type="dxa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Исполнено за 1 квартал 2021 года, тыс. рублей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Доля, %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13229,3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5,23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833,5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0,33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616,7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0,24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5137,8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2,03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3654,9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1,45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205252,0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81,21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Культура, кинематографии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7779,3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3,08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11052,8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4,37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185,6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0,07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91,6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0,04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4915,0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1,94</w:t>
            </w:r>
          </w:p>
        </w:tc>
      </w:tr>
      <w:tr w:rsidR="005E3DDE" w:rsidRPr="005E3DDE" w:rsidTr="009410D0">
        <w:tc>
          <w:tcPr>
            <w:tcW w:w="1809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 xml:space="preserve">Итого 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252748,5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100,00</w:t>
            </w:r>
          </w:p>
        </w:tc>
      </w:tr>
    </w:tbl>
    <w:p w:rsidR="005E3DDE" w:rsidRPr="005E3DDE" w:rsidRDefault="005E3DDE" w:rsidP="003F230F">
      <w:pPr>
        <w:shd w:val="clear" w:color="auto" w:fill="FFFFFF"/>
        <w:ind w:firstLine="709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Основную долю (81,21%) в расходах районного бюджета занимают расходы на образование.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b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Анализ исполнения расходов по разделам и подразделам бюджетной классификации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Средний уровень исполнения расходов районного бюджета к уточненному плану по отчету на 1 квартал 2021 года сложился 22,1 %.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0100 «Общегосударственные вопросы» расходы профинансированы на 21,9% к плану (план по отчету – 60497,6 тыс. рублей, исполнение – 13229,3 тыс. рублей). К соответствующему уровню 2020 года расходы по указанному разделу увеличились  на 4605,8 тыс. рублей или на 53,4%.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0200 «Национальная оборона» расходы профинансированы на 25,0 % к плану (план по отчету – 3334,2 тыс. рублей, исполнение – 833,5 тыс. рублей). К соответствующему уровню 2020 года расходы по указанному разделу увеличились на 75,7 тыс. рублей или на 10,0%.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0300 «Национальная безопасность и правоохранительная деятельность» расходы профинансированы на 14,4% к плану (план по отчету – 4287,5 тыс. рублей, исполнение – 616,7 тыс. рублей). По сравнению с аналогичным периодом прошлого года расходы увеличились на 262,2 тыс. рублей или на 74,0%.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0400 «Национальная экономика» расходы профинансированы на 17,3% к плану (план по отчету – 29742,8 тыс. рублей, исполнение – 5137,8 тыс. рублей). По сравнению с соответствующим периодом 2020 года расходы раздела сократились на 42,9 тыс. рублей или на 0,8%.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0500 «Жилищно-коммунальное хозяйство» расходы профинансированы на 2,8% к плану (план по отчету – 131145,5 тыс. рублей, исполнение – 3654,9 тыс. рублей). По сравнению с аналогичным периодом прошлого года расходы увеличились на 3162,4 тыс. рублей или в 7,4 раза.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0700 «Образование» расходы профинансированы на 26,2% к плану (план по отчету – 784748,4 тыс. рублей, исполнение – 205252,0 тыс. рублей). По сравнению с соответствующим уровнем прошлого года финансирование расходов по разделу увеличилось на 50438,5 тыс. рублей или на 32,6%.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 xml:space="preserve">По разделу 0800 «Культура, кинематография» расходы профинансированы на 15,2% к плану (план по отчету – 51344,5 тыс. рублей, исполнение – 7779,3 тыс. рублей). По сравнению с </w:t>
      </w:r>
      <w:r w:rsidRPr="005E3DDE">
        <w:rPr>
          <w:rFonts w:ascii="yandex-sans" w:hAnsi="yandex-sans"/>
          <w:color w:val="000000"/>
          <w:sz w:val="23"/>
          <w:szCs w:val="23"/>
        </w:rPr>
        <w:lastRenderedPageBreak/>
        <w:t>аналогичным периодом прошлого года финансирование расходов раздела сократились на 177,8 тыс. рублей или на 2,2%.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1000 «Социальная политика» расходы профинансированы на 20,7% к плану (план по отчету – 53284,6 тыс. рублей, исполнение – 11052,8 тыс. рублей). По сравнению с соответствующим периодом прошлого года финансирование расходов сократились на 343,3 тыс. рублей или на 3,0%.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1100 «Физическая культура и спорт» расходы профинансированы на 19,9% к плану (план по отчету – 934,0 тыс. рублей, исполнение – 185,6 тыс. рублей). По сравнению с аналогичным периодом прошлого года финансирование расходов сократились на 2,9 тыс. рублей или на 1,5%.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1200 «Средства массовой информации» расходы профинансированы на 13,6% к плану (план по отчету – 674,4 тыс. рублей, исполнение – 91,6 тыс. рублей).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1400 «Межбюджетные трансферты бюджетам субъектам и муниципальных образований общего характера при плане в сумме 17270,7 тыс. рублей профинансировано  4915,0 тыс. рублей или 28,5%, в том числе: - дотаций на выравнивание бюджетной обеспеченности бюджетов муниципальных образований – 31,0% (план – 9848,7 тыс. рублей, исполнение – 3002,0 тыс. рублей); прочие межбюджетные трансферты общего характера – 25,8% (план – 7422,0 тыс. рублей и исполнение – 1913,0 тыс. рублей). По сравнению с аналогичным периодом 2020 года объем межбюджетных трансфертов сократился на 617,8 тыс. рублей или на 11,2%.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Анализ исполнения межбюджетных трансфертов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Из районного бюджета бюджетам сельсоветов за 1 квартал 2021 года выделены межбюджетные трансферты на сумму 8797,1 тыс. рублей или 36,5% (план по отчету – 33014,4 тыс. рублей).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Направлено дотаций в бюджеты 17 муниципальных образований сельских поселений в сумме 3002,0 тыс. рублей или 30,5% от запланированного объема 9848,7 тыс. рублей.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Субвенций направлено в бюджеты 18 муниципальных образований сельских поселений 833,5 тыс. рублей или 25,0% от запланированного объема 3334,5 тыс. рублей.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Иные межбюджетные трансферты составили 5143,6 тыс. рублей или 25,9% от запланированного объема 19831,5 тыс. рублей.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Анализ использования средств муниципального дорожного фонда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За 1 квартал 2021 года профинансировано средств муниципального дорожного фонда в сумме 4869,2 тыс. рублей  или 20,4% от объема запланированных средств 23816,0 тыс. рублей. Фактически исполнено за 1 квартал 2021 года 4716,3 тыс. рублей</w:t>
      </w:r>
      <w:r w:rsidR="00FA4DF1" w:rsidRPr="005E3DDE">
        <w:rPr>
          <w:rFonts w:ascii="yandex-sans" w:hAnsi="yandex-sans"/>
          <w:color w:val="000000"/>
          <w:sz w:val="23"/>
          <w:szCs w:val="23"/>
        </w:rPr>
        <w:t xml:space="preserve">(за счет средств сельсовета </w:t>
      </w:r>
      <w:r w:rsidR="00FA4DF1">
        <w:rPr>
          <w:rFonts w:ascii="yandex-sans" w:hAnsi="yandex-sans"/>
          <w:color w:val="000000"/>
          <w:sz w:val="23"/>
          <w:szCs w:val="23"/>
        </w:rPr>
        <w:t>231,5</w:t>
      </w:r>
      <w:r w:rsidR="00FA4DF1" w:rsidRPr="005E3DDE">
        <w:rPr>
          <w:rFonts w:ascii="yandex-sans" w:hAnsi="yandex-sans"/>
          <w:color w:val="000000"/>
          <w:sz w:val="23"/>
          <w:szCs w:val="23"/>
        </w:rPr>
        <w:t xml:space="preserve"> тыс. рублей)</w:t>
      </w:r>
      <w:r w:rsidRPr="005E3DDE">
        <w:rPr>
          <w:rFonts w:ascii="yandex-sans" w:hAnsi="yandex-sans"/>
          <w:color w:val="000000"/>
          <w:sz w:val="23"/>
          <w:szCs w:val="23"/>
        </w:rPr>
        <w:t>, в том числе: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на содержание автомобильных дорог общего пользования местного значения, относящихся к муниципальной собственности – 4716,3 тыс. рублей.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Остаток средств муниципального дорожного фонда на 01 апреля 2021 года составил 1201,4 тыс. рублей.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Состояние муниципального долга Первомайского района.</w:t>
      </w: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Анализ дефицита районного бюджета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1 квартал 2021 года районный бюджет исполнен с превышением доходов над расходами (профицит) в размере 10269,3 тыс. рублей при  утвержденном плановом дефиците 25545,2 тыс. рублей.</w:t>
      </w:r>
      <w:r w:rsidRPr="005E3DDE">
        <w:rPr>
          <w:rFonts w:eastAsia="Calibri"/>
          <w:sz w:val="22"/>
          <w:szCs w:val="22"/>
          <w:lang w:eastAsia="en-US"/>
        </w:rPr>
        <w:t>В аналогичном периоде прошлого года исполнение районного бюджета сложилось с превышением доходов над расходами в размере 792,4 тыс. рублей.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состоянию на 01 апреля 2021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состоянию на 01 апреля 2021 года остаток задолженности сельских поселений по кредитам составил 1074,0 тыс. рублей.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E3DDE" w:rsidRPr="005E3DDE" w:rsidRDefault="005E3DDE" w:rsidP="005E3DDE">
      <w:pPr>
        <w:shd w:val="clear" w:color="auto" w:fill="FFFFFF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5E3DDE">
        <w:rPr>
          <w:rFonts w:eastAsia="Calibri"/>
          <w:b/>
          <w:sz w:val="22"/>
          <w:szCs w:val="22"/>
          <w:lang w:eastAsia="en-US"/>
        </w:rPr>
        <w:t>Вывод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5E3DDE">
        <w:rPr>
          <w:color w:val="000000"/>
          <w:sz w:val="23"/>
          <w:szCs w:val="23"/>
        </w:rPr>
        <w:t>Исполнение районного бюджета по состоянию за 1 квартал 2020 года осуществлялось в соответствии с решением Первомайского Собрания депутатов Алтайского края от 15.12.2020 № 30- СД «</w:t>
      </w:r>
      <w:r w:rsidRPr="005E3DDE">
        <w:rPr>
          <w:rFonts w:eastAsia="Calibri"/>
          <w:sz w:val="24"/>
          <w:szCs w:val="24"/>
          <w:lang w:eastAsia="en-US"/>
        </w:rPr>
        <w:t>О районном бюджете на 2021 год и плановый период 2022 и 2023 годов</w:t>
      </w:r>
      <w:r w:rsidRPr="005E3DDE">
        <w:rPr>
          <w:color w:val="000000"/>
          <w:sz w:val="23"/>
          <w:szCs w:val="23"/>
        </w:rPr>
        <w:t>» ( в ред. От 25.02.2021 № 5).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ascii="yandex-sans" w:hAnsi="yandex-sans"/>
          <w:color w:val="000000"/>
          <w:sz w:val="23"/>
          <w:szCs w:val="23"/>
        </w:rPr>
        <w:t xml:space="preserve">Фактически поступило доходов в районный бюджет 263017,8 тыс. рублей или  25,6% к годовому плану, в том числе налоговых и неналоговых доходов – 68154,9тыс. рублей или 27,0% к годовому плану. </w:t>
      </w:r>
      <w:r w:rsidRPr="005E3DDE">
        <w:rPr>
          <w:rFonts w:eastAsia="Calibri"/>
          <w:sz w:val="22"/>
          <w:szCs w:val="22"/>
          <w:lang w:eastAsia="en-US"/>
        </w:rPr>
        <w:t>По сравнению с аналогичным периодом прошлого года объем доходов увеличился на 66929,0 тыс. рублей или на 34,1%,.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lastRenderedPageBreak/>
        <w:t>Из районного бюджета бюджетам сельсоветов за 1 квартал 2021 года выделены межбюджетные трансферты на сумму 8979,1 тыс. рублей или 27,2% от утверждённого плана 33014,4 тыс. рублей).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Расходы районного бюджета за 1 квартал 2021 года профинансированы в сумме 252748,5 тыс. рублей, что составляет 22,1% к з утвержденному годовому плану в объеме 1141264,2 тыс. рублей. По сравнению с аналогичным периодом прошлого года расходы районного бюджета увеличились на 57452,1 тыс. рублей или на 29,4%.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состоянию на 01 апреля 2021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состоянию за 1 квартал 2021 года районный бюджет исполнен с превышением доходов над расходами (профицит) в размере 10269,3 тыс. рублей при утвержденном плановом дефиците 25545,2 тыс. рублей.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 xml:space="preserve">Аудитор контрольно-счетной палаты  </w:t>
      </w:r>
    </w:p>
    <w:p w:rsidR="005E3DDE" w:rsidRPr="005E3DDE" w:rsidRDefault="005E3DDE" w:rsidP="005E3DD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Первомайского района                                                                                                          Т. М. Баюнова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473A2" w:rsidRPr="003473A2" w:rsidRDefault="003473A2" w:rsidP="005E3DDE">
      <w:pPr>
        <w:ind w:firstLine="720"/>
        <w:jc w:val="both"/>
        <w:rPr>
          <w:color w:val="000000"/>
          <w:sz w:val="26"/>
          <w:szCs w:val="26"/>
        </w:rPr>
      </w:pPr>
    </w:p>
    <w:sectPr w:rsidR="003473A2" w:rsidRPr="003473A2" w:rsidSect="00D91D1B">
      <w:headerReference w:type="default" r:id="rId8"/>
      <w:headerReference w:type="first" r:id="rId9"/>
      <w:type w:val="continuous"/>
      <w:pgSz w:w="11906" w:h="16838"/>
      <w:pgMar w:top="567" w:right="567" w:bottom="567" w:left="1134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E8" w:rsidRDefault="007923E8">
      <w:r>
        <w:separator/>
      </w:r>
    </w:p>
  </w:endnote>
  <w:endnote w:type="continuationSeparator" w:id="1">
    <w:p w:rsidR="007923E8" w:rsidRDefault="0079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E8" w:rsidRDefault="007923E8">
      <w:r>
        <w:separator/>
      </w:r>
    </w:p>
  </w:footnote>
  <w:footnote w:type="continuationSeparator" w:id="1">
    <w:p w:rsidR="007923E8" w:rsidRDefault="00792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15542"/>
      <w:docPartObj>
        <w:docPartGallery w:val="Page Numbers (Top of Page)"/>
        <w:docPartUnique/>
      </w:docPartObj>
    </w:sdtPr>
    <w:sdtContent>
      <w:p w:rsidR="009E55FA" w:rsidRDefault="00C44404">
        <w:pPr>
          <w:pStyle w:val="a7"/>
          <w:jc w:val="center"/>
        </w:pPr>
        <w:r>
          <w:fldChar w:fldCharType="begin"/>
        </w:r>
        <w:r w:rsidR="009E55FA">
          <w:instrText>PAGE   \* MERGEFORMAT</w:instrText>
        </w:r>
        <w:r>
          <w:fldChar w:fldCharType="separate"/>
        </w:r>
        <w:r w:rsidR="003D7BEF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F8" w:rsidRDefault="00C136F8">
    <w:pPr>
      <w:pStyle w:val="a7"/>
      <w:jc w:val="center"/>
    </w:pPr>
  </w:p>
  <w:p w:rsidR="003E029D" w:rsidRDefault="003E029D" w:rsidP="003E029D">
    <w:pPr>
      <w:pStyle w:val="a7"/>
      <w:ind w:right="59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2C9"/>
    <w:multiLevelType w:val="hybridMultilevel"/>
    <w:tmpl w:val="186C2C2E"/>
    <w:lvl w:ilvl="0" w:tplc="21EE1F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100E"/>
    <w:multiLevelType w:val="hybridMultilevel"/>
    <w:tmpl w:val="B016D5C8"/>
    <w:lvl w:ilvl="0" w:tplc="45F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2365F"/>
    <w:multiLevelType w:val="hybridMultilevel"/>
    <w:tmpl w:val="D5EA31EC"/>
    <w:lvl w:ilvl="0" w:tplc="89340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1595"/>
    <w:multiLevelType w:val="hybridMultilevel"/>
    <w:tmpl w:val="482C2E76"/>
    <w:lvl w:ilvl="0" w:tplc="C1C6471A">
      <w:start w:val="6"/>
      <w:numFmt w:val="decimal"/>
      <w:lvlText w:val="%1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311CF"/>
    <w:multiLevelType w:val="hybridMultilevel"/>
    <w:tmpl w:val="D7D6E146"/>
    <w:lvl w:ilvl="0" w:tplc="5E8A7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73802"/>
    <w:multiLevelType w:val="hybridMultilevel"/>
    <w:tmpl w:val="842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7613"/>
    <w:rsid w:val="00001619"/>
    <w:rsid w:val="000034F4"/>
    <w:rsid w:val="0000601A"/>
    <w:rsid w:val="00010AB1"/>
    <w:rsid w:val="0002466B"/>
    <w:rsid w:val="00024AFD"/>
    <w:rsid w:val="00025213"/>
    <w:rsid w:val="00032406"/>
    <w:rsid w:val="00033354"/>
    <w:rsid w:val="0004258A"/>
    <w:rsid w:val="00051C1C"/>
    <w:rsid w:val="00053092"/>
    <w:rsid w:val="000536DF"/>
    <w:rsid w:val="00073D0A"/>
    <w:rsid w:val="00076079"/>
    <w:rsid w:val="000809CA"/>
    <w:rsid w:val="000811B7"/>
    <w:rsid w:val="00083CE4"/>
    <w:rsid w:val="00086B60"/>
    <w:rsid w:val="00091D79"/>
    <w:rsid w:val="00095AAF"/>
    <w:rsid w:val="00096A8F"/>
    <w:rsid w:val="00097155"/>
    <w:rsid w:val="000972E5"/>
    <w:rsid w:val="000A5D0E"/>
    <w:rsid w:val="000B1FD1"/>
    <w:rsid w:val="000B3305"/>
    <w:rsid w:val="000C03D1"/>
    <w:rsid w:val="000C2274"/>
    <w:rsid w:val="000C6581"/>
    <w:rsid w:val="000D4054"/>
    <w:rsid w:val="000D517A"/>
    <w:rsid w:val="000E04DF"/>
    <w:rsid w:val="000E1E33"/>
    <w:rsid w:val="000E1E60"/>
    <w:rsid w:val="000E3042"/>
    <w:rsid w:val="000E3447"/>
    <w:rsid w:val="000E5715"/>
    <w:rsid w:val="000F37EB"/>
    <w:rsid w:val="000F7456"/>
    <w:rsid w:val="00101E6D"/>
    <w:rsid w:val="00102439"/>
    <w:rsid w:val="00115DBB"/>
    <w:rsid w:val="00131556"/>
    <w:rsid w:val="00135399"/>
    <w:rsid w:val="00135F85"/>
    <w:rsid w:val="0014728B"/>
    <w:rsid w:val="001472AA"/>
    <w:rsid w:val="00165BEC"/>
    <w:rsid w:val="00170A1F"/>
    <w:rsid w:val="00172287"/>
    <w:rsid w:val="0017290F"/>
    <w:rsid w:val="0018689A"/>
    <w:rsid w:val="00190F47"/>
    <w:rsid w:val="00195140"/>
    <w:rsid w:val="00197856"/>
    <w:rsid w:val="001B19F9"/>
    <w:rsid w:val="001B5597"/>
    <w:rsid w:val="001B6D38"/>
    <w:rsid w:val="001C352A"/>
    <w:rsid w:val="001C35B0"/>
    <w:rsid w:val="001D2CC1"/>
    <w:rsid w:val="001D458C"/>
    <w:rsid w:val="001D5A94"/>
    <w:rsid w:val="001D7CE3"/>
    <w:rsid w:val="001E0B3D"/>
    <w:rsid w:val="001E3902"/>
    <w:rsid w:val="001F56C6"/>
    <w:rsid w:val="002003D9"/>
    <w:rsid w:val="00204887"/>
    <w:rsid w:val="00205F28"/>
    <w:rsid w:val="00206986"/>
    <w:rsid w:val="0021091A"/>
    <w:rsid w:val="00213473"/>
    <w:rsid w:val="0021486C"/>
    <w:rsid w:val="00216F08"/>
    <w:rsid w:val="002213AF"/>
    <w:rsid w:val="00221FD4"/>
    <w:rsid w:val="0022418B"/>
    <w:rsid w:val="0022511F"/>
    <w:rsid w:val="00225B7A"/>
    <w:rsid w:val="002273AD"/>
    <w:rsid w:val="00230FDE"/>
    <w:rsid w:val="002321E4"/>
    <w:rsid w:val="0023656D"/>
    <w:rsid w:val="00243E04"/>
    <w:rsid w:val="002506C3"/>
    <w:rsid w:val="002531AA"/>
    <w:rsid w:val="002534D4"/>
    <w:rsid w:val="00254794"/>
    <w:rsid w:val="00263D0A"/>
    <w:rsid w:val="00266405"/>
    <w:rsid w:val="0027073A"/>
    <w:rsid w:val="00274583"/>
    <w:rsid w:val="00280F42"/>
    <w:rsid w:val="00281BAD"/>
    <w:rsid w:val="0029438F"/>
    <w:rsid w:val="00295A10"/>
    <w:rsid w:val="002A440C"/>
    <w:rsid w:val="002D41A5"/>
    <w:rsid w:val="002D58AF"/>
    <w:rsid w:val="002E13D4"/>
    <w:rsid w:val="002F19FC"/>
    <w:rsid w:val="002F2716"/>
    <w:rsid w:val="00303196"/>
    <w:rsid w:val="003219BD"/>
    <w:rsid w:val="0032381A"/>
    <w:rsid w:val="003348FB"/>
    <w:rsid w:val="00342F94"/>
    <w:rsid w:val="003473A2"/>
    <w:rsid w:val="00347A08"/>
    <w:rsid w:val="00354BE0"/>
    <w:rsid w:val="003645C4"/>
    <w:rsid w:val="00367679"/>
    <w:rsid w:val="0037088C"/>
    <w:rsid w:val="00371860"/>
    <w:rsid w:val="003736E4"/>
    <w:rsid w:val="00383B9D"/>
    <w:rsid w:val="00384FC3"/>
    <w:rsid w:val="0038564F"/>
    <w:rsid w:val="00386F48"/>
    <w:rsid w:val="00391CA8"/>
    <w:rsid w:val="00393ECC"/>
    <w:rsid w:val="0039657A"/>
    <w:rsid w:val="003A320B"/>
    <w:rsid w:val="003A5881"/>
    <w:rsid w:val="003B021D"/>
    <w:rsid w:val="003B20B8"/>
    <w:rsid w:val="003C04E4"/>
    <w:rsid w:val="003C1AB5"/>
    <w:rsid w:val="003C5BC7"/>
    <w:rsid w:val="003C6CEA"/>
    <w:rsid w:val="003D234B"/>
    <w:rsid w:val="003D7BEF"/>
    <w:rsid w:val="003E029D"/>
    <w:rsid w:val="003E2CEF"/>
    <w:rsid w:val="003F2170"/>
    <w:rsid w:val="003F230F"/>
    <w:rsid w:val="00410F0D"/>
    <w:rsid w:val="004241AB"/>
    <w:rsid w:val="004375E5"/>
    <w:rsid w:val="00442064"/>
    <w:rsid w:val="00442423"/>
    <w:rsid w:val="00444831"/>
    <w:rsid w:val="00447646"/>
    <w:rsid w:val="004570CD"/>
    <w:rsid w:val="00457814"/>
    <w:rsid w:val="00462275"/>
    <w:rsid w:val="00463163"/>
    <w:rsid w:val="004640A3"/>
    <w:rsid w:val="004640F0"/>
    <w:rsid w:val="0046480A"/>
    <w:rsid w:val="004667E8"/>
    <w:rsid w:val="00475F67"/>
    <w:rsid w:val="00494F63"/>
    <w:rsid w:val="004951D0"/>
    <w:rsid w:val="0049577B"/>
    <w:rsid w:val="0049690B"/>
    <w:rsid w:val="00496EF8"/>
    <w:rsid w:val="0049746E"/>
    <w:rsid w:val="00497A39"/>
    <w:rsid w:val="004A5793"/>
    <w:rsid w:val="004B33FB"/>
    <w:rsid w:val="004B6AE6"/>
    <w:rsid w:val="004C24F8"/>
    <w:rsid w:val="004C50A8"/>
    <w:rsid w:val="004C7A72"/>
    <w:rsid w:val="004D18AB"/>
    <w:rsid w:val="004D2BB3"/>
    <w:rsid w:val="004D3E08"/>
    <w:rsid w:val="004D502E"/>
    <w:rsid w:val="004E0965"/>
    <w:rsid w:val="004E1784"/>
    <w:rsid w:val="004E7CAA"/>
    <w:rsid w:val="0050596F"/>
    <w:rsid w:val="00507A61"/>
    <w:rsid w:val="00522C40"/>
    <w:rsid w:val="005252BD"/>
    <w:rsid w:val="00525702"/>
    <w:rsid w:val="0053260F"/>
    <w:rsid w:val="005330AF"/>
    <w:rsid w:val="00555B6A"/>
    <w:rsid w:val="00557A5D"/>
    <w:rsid w:val="0056000E"/>
    <w:rsid w:val="005607A5"/>
    <w:rsid w:val="005616CE"/>
    <w:rsid w:val="005663A1"/>
    <w:rsid w:val="00571C6D"/>
    <w:rsid w:val="00577007"/>
    <w:rsid w:val="00593E59"/>
    <w:rsid w:val="005978B0"/>
    <w:rsid w:val="005A167E"/>
    <w:rsid w:val="005A6518"/>
    <w:rsid w:val="005B1BD4"/>
    <w:rsid w:val="005B3124"/>
    <w:rsid w:val="005B76C5"/>
    <w:rsid w:val="005C6AC7"/>
    <w:rsid w:val="005E06B1"/>
    <w:rsid w:val="005E1FF7"/>
    <w:rsid w:val="005E3DDE"/>
    <w:rsid w:val="005E6BF1"/>
    <w:rsid w:val="005F1022"/>
    <w:rsid w:val="005F4523"/>
    <w:rsid w:val="005F6703"/>
    <w:rsid w:val="005F70E9"/>
    <w:rsid w:val="006001BD"/>
    <w:rsid w:val="00613BA1"/>
    <w:rsid w:val="00613D8D"/>
    <w:rsid w:val="0061488F"/>
    <w:rsid w:val="0062331A"/>
    <w:rsid w:val="006273C2"/>
    <w:rsid w:val="00630C88"/>
    <w:rsid w:val="00634A36"/>
    <w:rsid w:val="00644029"/>
    <w:rsid w:val="006556C6"/>
    <w:rsid w:val="00655874"/>
    <w:rsid w:val="0066694B"/>
    <w:rsid w:val="00671A8A"/>
    <w:rsid w:val="00673BAE"/>
    <w:rsid w:val="00681BD7"/>
    <w:rsid w:val="00682B7F"/>
    <w:rsid w:val="006923FE"/>
    <w:rsid w:val="006940E2"/>
    <w:rsid w:val="006A13A1"/>
    <w:rsid w:val="006A14EC"/>
    <w:rsid w:val="006A1B70"/>
    <w:rsid w:val="006A5B88"/>
    <w:rsid w:val="006B18A4"/>
    <w:rsid w:val="006B4432"/>
    <w:rsid w:val="006B5019"/>
    <w:rsid w:val="006B60D0"/>
    <w:rsid w:val="006C0ACE"/>
    <w:rsid w:val="006C3332"/>
    <w:rsid w:val="006C3EF9"/>
    <w:rsid w:val="006C47A4"/>
    <w:rsid w:val="006F11B0"/>
    <w:rsid w:val="006F305C"/>
    <w:rsid w:val="006F54BD"/>
    <w:rsid w:val="00705508"/>
    <w:rsid w:val="00707C11"/>
    <w:rsid w:val="00710A58"/>
    <w:rsid w:val="00714519"/>
    <w:rsid w:val="00714C5D"/>
    <w:rsid w:val="00720BEC"/>
    <w:rsid w:val="007305FF"/>
    <w:rsid w:val="00731AC8"/>
    <w:rsid w:val="0073230F"/>
    <w:rsid w:val="007454A2"/>
    <w:rsid w:val="00761C8D"/>
    <w:rsid w:val="007656C9"/>
    <w:rsid w:val="00770122"/>
    <w:rsid w:val="007713F8"/>
    <w:rsid w:val="00771F06"/>
    <w:rsid w:val="007730BF"/>
    <w:rsid w:val="00775A00"/>
    <w:rsid w:val="00776F4F"/>
    <w:rsid w:val="00783AB6"/>
    <w:rsid w:val="007923E8"/>
    <w:rsid w:val="0079278E"/>
    <w:rsid w:val="007A063C"/>
    <w:rsid w:val="007B4624"/>
    <w:rsid w:val="007C13C1"/>
    <w:rsid w:val="007C3748"/>
    <w:rsid w:val="007D5733"/>
    <w:rsid w:val="007E44E4"/>
    <w:rsid w:val="007E6D90"/>
    <w:rsid w:val="007F7B74"/>
    <w:rsid w:val="0080037D"/>
    <w:rsid w:val="008012A7"/>
    <w:rsid w:val="00812C89"/>
    <w:rsid w:val="008262E1"/>
    <w:rsid w:val="00826C1F"/>
    <w:rsid w:val="0083721B"/>
    <w:rsid w:val="00856799"/>
    <w:rsid w:val="0086019A"/>
    <w:rsid w:val="008612AA"/>
    <w:rsid w:val="00865289"/>
    <w:rsid w:val="00871AC0"/>
    <w:rsid w:val="00875E26"/>
    <w:rsid w:val="0088079C"/>
    <w:rsid w:val="008838DD"/>
    <w:rsid w:val="008A02F5"/>
    <w:rsid w:val="008A53E6"/>
    <w:rsid w:val="008A55D8"/>
    <w:rsid w:val="008A6201"/>
    <w:rsid w:val="008A7414"/>
    <w:rsid w:val="008B09F9"/>
    <w:rsid w:val="008B565D"/>
    <w:rsid w:val="008C446A"/>
    <w:rsid w:val="008D1951"/>
    <w:rsid w:val="008E5983"/>
    <w:rsid w:val="008E7B6C"/>
    <w:rsid w:val="008F48BF"/>
    <w:rsid w:val="00900662"/>
    <w:rsid w:val="00902298"/>
    <w:rsid w:val="00903DC3"/>
    <w:rsid w:val="0091331C"/>
    <w:rsid w:val="00913467"/>
    <w:rsid w:val="00920733"/>
    <w:rsid w:val="00925536"/>
    <w:rsid w:val="009278E9"/>
    <w:rsid w:val="00934910"/>
    <w:rsid w:val="00934E1B"/>
    <w:rsid w:val="009378E3"/>
    <w:rsid w:val="009410D0"/>
    <w:rsid w:val="009463FD"/>
    <w:rsid w:val="00951BB9"/>
    <w:rsid w:val="0095289E"/>
    <w:rsid w:val="009560A9"/>
    <w:rsid w:val="009621C4"/>
    <w:rsid w:val="00973B68"/>
    <w:rsid w:val="0097545D"/>
    <w:rsid w:val="00977173"/>
    <w:rsid w:val="009848A4"/>
    <w:rsid w:val="009859B0"/>
    <w:rsid w:val="00985B57"/>
    <w:rsid w:val="009864CB"/>
    <w:rsid w:val="00990A1D"/>
    <w:rsid w:val="00990FE9"/>
    <w:rsid w:val="00995A15"/>
    <w:rsid w:val="009A48A4"/>
    <w:rsid w:val="009C7AD1"/>
    <w:rsid w:val="009D0900"/>
    <w:rsid w:val="009D4422"/>
    <w:rsid w:val="009D6408"/>
    <w:rsid w:val="009D741B"/>
    <w:rsid w:val="009E299A"/>
    <w:rsid w:val="009E3839"/>
    <w:rsid w:val="009E4A52"/>
    <w:rsid w:val="009E55FA"/>
    <w:rsid w:val="009E5FF3"/>
    <w:rsid w:val="00A0711B"/>
    <w:rsid w:val="00A10F91"/>
    <w:rsid w:val="00A23448"/>
    <w:rsid w:val="00A27696"/>
    <w:rsid w:val="00A36E8C"/>
    <w:rsid w:val="00A3703B"/>
    <w:rsid w:val="00A37122"/>
    <w:rsid w:val="00A41932"/>
    <w:rsid w:val="00A47485"/>
    <w:rsid w:val="00A64E34"/>
    <w:rsid w:val="00A7335A"/>
    <w:rsid w:val="00A74B1C"/>
    <w:rsid w:val="00A779B0"/>
    <w:rsid w:val="00A80F90"/>
    <w:rsid w:val="00A81D3B"/>
    <w:rsid w:val="00A90360"/>
    <w:rsid w:val="00AA2665"/>
    <w:rsid w:val="00AA2AC7"/>
    <w:rsid w:val="00AA2F5B"/>
    <w:rsid w:val="00AB028C"/>
    <w:rsid w:val="00AB514E"/>
    <w:rsid w:val="00AB7AF3"/>
    <w:rsid w:val="00AC7CF6"/>
    <w:rsid w:val="00AD401A"/>
    <w:rsid w:val="00AD402B"/>
    <w:rsid w:val="00AD51EA"/>
    <w:rsid w:val="00AE249E"/>
    <w:rsid w:val="00AE7962"/>
    <w:rsid w:val="00AE797B"/>
    <w:rsid w:val="00AF2FB6"/>
    <w:rsid w:val="00B1106E"/>
    <w:rsid w:val="00B11C9B"/>
    <w:rsid w:val="00B151FA"/>
    <w:rsid w:val="00B17EAA"/>
    <w:rsid w:val="00B22DE2"/>
    <w:rsid w:val="00B23E98"/>
    <w:rsid w:val="00B43F77"/>
    <w:rsid w:val="00B4510F"/>
    <w:rsid w:val="00B55834"/>
    <w:rsid w:val="00B621C0"/>
    <w:rsid w:val="00B66188"/>
    <w:rsid w:val="00B70FE8"/>
    <w:rsid w:val="00B72504"/>
    <w:rsid w:val="00B725A5"/>
    <w:rsid w:val="00B74FD8"/>
    <w:rsid w:val="00B850FC"/>
    <w:rsid w:val="00B852A9"/>
    <w:rsid w:val="00B92732"/>
    <w:rsid w:val="00BA1460"/>
    <w:rsid w:val="00BA1875"/>
    <w:rsid w:val="00BA5C4B"/>
    <w:rsid w:val="00BC41CA"/>
    <w:rsid w:val="00BC6D3C"/>
    <w:rsid w:val="00BD53B6"/>
    <w:rsid w:val="00BD594D"/>
    <w:rsid w:val="00BD78D6"/>
    <w:rsid w:val="00BE1C80"/>
    <w:rsid w:val="00BF18A8"/>
    <w:rsid w:val="00BF4912"/>
    <w:rsid w:val="00C019BF"/>
    <w:rsid w:val="00C039A8"/>
    <w:rsid w:val="00C056D7"/>
    <w:rsid w:val="00C136F8"/>
    <w:rsid w:val="00C24F3E"/>
    <w:rsid w:val="00C25418"/>
    <w:rsid w:val="00C25508"/>
    <w:rsid w:val="00C3336C"/>
    <w:rsid w:val="00C3620A"/>
    <w:rsid w:val="00C3671B"/>
    <w:rsid w:val="00C422D3"/>
    <w:rsid w:val="00C44404"/>
    <w:rsid w:val="00C50664"/>
    <w:rsid w:val="00C563B3"/>
    <w:rsid w:val="00C57BDD"/>
    <w:rsid w:val="00C70AEA"/>
    <w:rsid w:val="00C77CBE"/>
    <w:rsid w:val="00C77D17"/>
    <w:rsid w:val="00C8376F"/>
    <w:rsid w:val="00C8590D"/>
    <w:rsid w:val="00C8787E"/>
    <w:rsid w:val="00C9388E"/>
    <w:rsid w:val="00C94630"/>
    <w:rsid w:val="00C94A42"/>
    <w:rsid w:val="00CA276C"/>
    <w:rsid w:val="00CB48FE"/>
    <w:rsid w:val="00CC3EE5"/>
    <w:rsid w:val="00CC3F0C"/>
    <w:rsid w:val="00CC6A0F"/>
    <w:rsid w:val="00CD21E6"/>
    <w:rsid w:val="00CD53A6"/>
    <w:rsid w:val="00CD5614"/>
    <w:rsid w:val="00CD661C"/>
    <w:rsid w:val="00CE1E53"/>
    <w:rsid w:val="00D0127E"/>
    <w:rsid w:val="00D06010"/>
    <w:rsid w:val="00D16798"/>
    <w:rsid w:val="00D2444E"/>
    <w:rsid w:val="00D33EF8"/>
    <w:rsid w:val="00D37DC8"/>
    <w:rsid w:val="00D41115"/>
    <w:rsid w:val="00D4343B"/>
    <w:rsid w:val="00D516BC"/>
    <w:rsid w:val="00D53112"/>
    <w:rsid w:val="00D566E7"/>
    <w:rsid w:val="00D619E5"/>
    <w:rsid w:val="00D6501E"/>
    <w:rsid w:val="00D665A4"/>
    <w:rsid w:val="00D74941"/>
    <w:rsid w:val="00D77613"/>
    <w:rsid w:val="00D8295F"/>
    <w:rsid w:val="00D8661E"/>
    <w:rsid w:val="00D86F51"/>
    <w:rsid w:val="00D91D1B"/>
    <w:rsid w:val="00D933E5"/>
    <w:rsid w:val="00D94F80"/>
    <w:rsid w:val="00D961B1"/>
    <w:rsid w:val="00DB5225"/>
    <w:rsid w:val="00DB64AD"/>
    <w:rsid w:val="00DB712B"/>
    <w:rsid w:val="00DC3BE0"/>
    <w:rsid w:val="00DC5F0C"/>
    <w:rsid w:val="00DC6FD7"/>
    <w:rsid w:val="00DD1B42"/>
    <w:rsid w:val="00DD4621"/>
    <w:rsid w:val="00DF1013"/>
    <w:rsid w:val="00E01454"/>
    <w:rsid w:val="00E15FAD"/>
    <w:rsid w:val="00E168D4"/>
    <w:rsid w:val="00E16FC8"/>
    <w:rsid w:val="00E3270F"/>
    <w:rsid w:val="00E33F8D"/>
    <w:rsid w:val="00E352AA"/>
    <w:rsid w:val="00E51EEE"/>
    <w:rsid w:val="00E54F1B"/>
    <w:rsid w:val="00E55508"/>
    <w:rsid w:val="00E61B7E"/>
    <w:rsid w:val="00E62631"/>
    <w:rsid w:val="00E627B9"/>
    <w:rsid w:val="00E65ADB"/>
    <w:rsid w:val="00E7013C"/>
    <w:rsid w:val="00E72C50"/>
    <w:rsid w:val="00E74022"/>
    <w:rsid w:val="00E97467"/>
    <w:rsid w:val="00EA253A"/>
    <w:rsid w:val="00EA4BE4"/>
    <w:rsid w:val="00EB0307"/>
    <w:rsid w:val="00EB07D7"/>
    <w:rsid w:val="00EB7DB7"/>
    <w:rsid w:val="00EC25D7"/>
    <w:rsid w:val="00EE286A"/>
    <w:rsid w:val="00EE3310"/>
    <w:rsid w:val="00EE5A3D"/>
    <w:rsid w:val="00EE6500"/>
    <w:rsid w:val="00EE6B06"/>
    <w:rsid w:val="00EE7C19"/>
    <w:rsid w:val="00EF3870"/>
    <w:rsid w:val="00EF473B"/>
    <w:rsid w:val="00F0305E"/>
    <w:rsid w:val="00F04E2B"/>
    <w:rsid w:val="00F13684"/>
    <w:rsid w:val="00F1391D"/>
    <w:rsid w:val="00F1396E"/>
    <w:rsid w:val="00F17EFE"/>
    <w:rsid w:val="00F219AD"/>
    <w:rsid w:val="00F22E92"/>
    <w:rsid w:val="00F23C0C"/>
    <w:rsid w:val="00F4134A"/>
    <w:rsid w:val="00F57806"/>
    <w:rsid w:val="00F67E28"/>
    <w:rsid w:val="00F70BA2"/>
    <w:rsid w:val="00F77D81"/>
    <w:rsid w:val="00F77E12"/>
    <w:rsid w:val="00F77E35"/>
    <w:rsid w:val="00F80046"/>
    <w:rsid w:val="00F81FAA"/>
    <w:rsid w:val="00F87BF4"/>
    <w:rsid w:val="00F946C3"/>
    <w:rsid w:val="00F95629"/>
    <w:rsid w:val="00F97234"/>
    <w:rsid w:val="00FA1444"/>
    <w:rsid w:val="00FA438A"/>
    <w:rsid w:val="00FA4DF1"/>
    <w:rsid w:val="00FA787A"/>
    <w:rsid w:val="00FB7E5D"/>
    <w:rsid w:val="00FC7316"/>
    <w:rsid w:val="00FD1217"/>
    <w:rsid w:val="00FD181B"/>
    <w:rsid w:val="00FD243D"/>
    <w:rsid w:val="00FD7FC3"/>
    <w:rsid w:val="00FE12DD"/>
    <w:rsid w:val="00FE4044"/>
    <w:rsid w:val="00FE4FA9"/>
    <w:rsid w:val="00FE5D49"/>
    <w:rsid w:val="00FE6EA6"/>
    <w:rsid w:val="00FF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2"/>
  </w:style>
  <w:style w:type="paragraph" w:styleId="1">
    <w:name w:val="heading 1"/>
    <w:basedOn w:val="a"/>
    <w:next w:val="a"/>
    <w:qFormat/>
    <w:rsid w:val="007701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1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12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7012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012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012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7012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7012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7012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122"/>
    <w:rPr>
      <w:sz w:val="26"/>
    </w:rPr>
  </w:style>
  <w:style w:type="paragraph" w:styleId="a4">
    <w:name w:val="Body Text Indent"/>
    <w:basedOn w:val="a"/>
    <w:rsid w:val="00770122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2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6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71F06"/>
  </w:style>
  <w:style w:type="character" w:customStyle="1" w:styleId="apple-converted-space">
    <w:name w:val="apple-converted-space"/>
    <w:basedOn w:val="a0"/>
    <w:rsid w:val="00D961B1"/>
  </w:style>
  <w:style w:type="table" w:customStyle="1" w:styleId="10">
    <w:name w:val="Сетка таблицы1"/>
    <w:basedOn w:val="a1"/>
    <w:next w:val="aa"/>
    <w:uiPriority w:val="59"/>
    <w:rsid w:val="005E3D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087298-176F-4A0A-A59C-E2E5815F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4428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РОССИЙСКАЯ ФЕДЕРАЦИЯ                          Директору    </vt:lpstr>
    </vt:vector>
  </TitlesOfParts>
  <Company>Администрация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РОССИЙСКАЯ ФЕДЕРАЦИЯ                          Директору    </dc:title>
  <dc:subject/>
  <dc:creator>Контрольно-счетная палата</dc:creator>
  <cp:keywords/>
  <dc:description/>
  <cp:lastModifiedBy>orgmet</cp:lastModifiedBy>
  <cp:revision>97</cp:revision>
  <cp:lastPrinted>2022-01-13T03:42:00Z</cp:lastPrinted>
  <dcterms:created xsi:type="dcterms:W3CDTF">2018-05-07T09:21:00Z</dcterms:created>
  <dcterms:modified xsi:type="dcterms:W3CDTF">2022-01-13T03:43:00Z</dcterms:modified>
</cp:coreProperties>
</file>